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5502"/>
      </w:tblGrid>
      <w:tr w:rsidR="00161B4F" w:rsidRPr="00F1129B" w14:paraId="2B7F7757" w14:textId="77777777" w:rsidTr="00A10E25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33B51839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Dodání kancelářského nábytku</w:t>
            </w:r>
            <w:r w:rsidR="00A10E25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č. II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A10E25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A10E25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0E25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2020-10-23T12:44:00Z</dcterms:modified>
</cp:coreProperties>
</file>